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43" w:rsidRPr="001D1540" w:rsidRDefault="009049AE" w:rsidP="00BD7943">
      <w:pPr>
        <w:jc w:val="center"/>
        <w:rPr>
          <w:rFonts w:asciiTheme="minorEastAsia" w:hAnsiTheme="minorEastAsia" w:cs="Times New Roman"/>
          <w:sz w:val="32"/>
          <w:szCs w:val="32"/>
        </w:rPr>
      </w:pPr>
      <w:r>
        <w:rPr>
          <w:rFonts w:asciiTheme="minorEastAsia" w:hAnsiTheme="minorEastAsia" w:cs="Times New Roman" w:hint="eastAsia"/>
          <w:sz w:val="32"/>
          <w:szCs w:val="32"/>
        </w:rPr>
        <w:t>６</w:t>
      </w:r>
      <w:r w:rsidR="00BD7943" w:rsidRPr="001D1540">
        <w:rPr>
          <w:rFonts w:asciiTheme="minorEastAsia" w:hAnsiTheme="minorEastAsia" w:cs="Times New Roman" w:hint="eastAsia"/>
          <w:sz w:val="32"/>
          <w:szCs w:val="32"/>
        </w:rPr>
        <w:t>月</w:t>
      </w:r>
      <w:r>
        <w:rPr>
          <w:rFonts w:asciiTheme="minorEastAsia" w:hAnsiTheme="minorEastAsia" w:cs="Times New Roman" w:hint="eastAsia"/>
          <w:sz w:val="32"/>
          <w:szCs w:val="32"/>
        </w:rPr>
        <w:t>１１日（火</w:t>
      </w:r>
      <w:r w:rsidR="00BD7943" w:rsidRPr="001D1540">
        <w:rPr>
          <w:rFonts w:asciiTheme="minorEastAsia" w:hAnsiTheme="minorEastAsia" w:cs="Times New Roman" w:hint="eastAsia"/>
          <w:sz w:val="32"/>
          <w:szCs w:val="32"/>
        </w:rPr>
        <w:t xml:space="preserve">） </w:t>
      </w:r>
      <w:r w:rsidR="00BD7943">
        <w:rPr>
          <w:rFonts w:asciiTheme="minorEastAsia" w:hAnsiTheme="minorEastAsia" w:cs="Times New Roman" w:hint="eastAsia"/>
          <w:sz w:val="32"/>
          <w:szCs w:val="32"/>
        </w:rPr>
        <w:t>法務</w:t>
      </w:r>
      <w:r w:rsidR="00BD7943" w:rsidRPr="001D1540">
        <w:rPr>
          <w:rFonts w:asciiTheme="minorEastAsia" w:hAnsiTheme="minorEastAsia" w:cs="Times New Roman" w:hint="eastAsia"/>
          <w:sz w:val="32"/>
          <w:szCs w:val="32"/>
        </w:rPr>
        <w:t xml:space="preserve">委員会　質問通告　</w:t>
      </w:r>
    </w:p>
    <w:p w:rsidR="00BD7943" w:rsidRPr="001D1540" w:rsidRDefault="00BD7943" w:rsidP="00BD7943">
      <w:pPr>
        <w:jc w:val="center"/>
        <w:rPr>
          <w:rFonts w:asciiTheme="minorEastAsia" w:hAnsiTheme="minorEastAsia" w:cs="Times New Roman"/>
          <w:sz w:val="32"/>
          <w:szCs w:val="32"/>
        </w:rPr>
      </w:pPr>
      <w:r w:rsidRPr="001D1540">
        <w:rPr>
          <w:rFonts w:asciiTheme="minorEastAsia" w:hAnsiTheme="minorEastAsia" w:cs="Times New Roman" w:hint="eastAsia"/>
          <w:sz w:val="32"/>
          <w:szCs w:val="32"/>
        </w:rPr>
        <w:t xml:space="preserve">　　　　　　　　　　　　</w:t>
      </w:r>
      <w:r>
        <w:rPr>
          <w:rFonts w:asciiTheme="minorEastAsia" w:hAnsiTheme="minorEastAsia" w:cs="Times New Roman" w:hint="eastAsia"/>
          <w:sz w:val="32"/>
          <w:szCs w:val="32"/>
        </w:rPr>
        <w:t xml:space="preserve">　　　　</w:t>
      </w:r>
      <w:r w:rsidRPr="001D1540">
        <w:rPr>
          <w:rFonts w:asciiTheme="minorEastAsia" w:hAnsiTheme="minorEastAsia" w:cs="Times New Roman" w:hint="eastAsia"/>
          <w:sz w:val="32"/>
          <w:szCs w:val="32"/>
        </w:rPr>
        <w:t>衆議院議員　階　　猛</w:t>
      </w:r>
    </w:p>
    <w:p w:rsidR="00737E82" w:rsidRDefault="00737E82"/>
    <w:p w:rsidR="00557493" w:rsidRPr="00557493" w:rsidRDefault="00557493" w:rsidP="00557493">
      <w:pPr>
        <w:rPr>
          <w:sz w:val="28"/>
          <w:szCs w:val="28"/>
        </w:rPr>
      </w:pPr>
      <w:r w:rsidRPr="00557493">
        <w:rPr>
          <w:rFonts w:hint="eastAsia"/>
          <w:sz w:val="28"/>
          <w:szCs w:val="28"/>
        </w:rPr>
        <w:t>１．拷問等禁止条約第２回政府報告審査について【資料１】</w:t>
      </w:r>
    </w:p>
    <w:p w:rsidR="00557493" w:rsidRPr="00557493" w:rsidRDefault="00557493" w:rsidP="00557493">
      <w:pPr>
        <w:rPr>
          <w:sz w:val="28"/>
          <w:szCs w:val="28"/>
        </w:rPr>
      </w:pPr>
    </w:p>
    <w:p w:rsidR="00557493" w:rsidRDefault="00557493" w:rsidP="00557493">
      <w:pPr>
        <w:pStyle w:val="a3"/>
        <w:numPr>
          <w:ilvl w:val="0"/>
          <w:numId w:val="7"/>
        </w:numPr>
        <w:ind w:leftChars="0"/>
        <w:rPr>
          <w:sz w:val="28"/>
          <w:szCs w:val="28"/>
        </w:rPr>
      </w:pPr>
      <w:r w:rsidRPr="00557493">
        <w:rPr>
          <w:rFonts w:hint="eastAsia"/>
          <w:sz w:val="28"/>
          <w:szCs w:val="28"/>
        </w:rPr>
        <w:t>審査の際の上田人権人道大使の聴衆に対する発言は問題ではない</w:t>
      </w:r>
    </w:p>
    <w:p w:rsidR="00557493" w:rsidRPr="00557493" w:rsidRDefault="00557493" w:rsidP="00557493">
      <w:pPr>
        <w:ind w:left="300" w:firstLineChars="100" w:firstLine="280"/>
        <w:rPr>
          <w:sz w:val="28"/>
          <w:szCs w:val="28"/>
        </w:rPr>
      </w:pPr>
      <w:r w:rsidRPr="00557493">
        <w:rPr>
          <w:rFonts w:hint="eastAsia"/>
          <w:sz w:val="28"/>
          <w:szCs w:val="28"/>
        </w:rPr>
        <w:t>か？【外務大臣政務官】</w:t>
      </w:r>
    </w:p>
    <w:p w:rsidR="00557493" w:rsidRDefault="00557493" w:rsidP="00557493">
      <w:pPr>
        <w:pStyle w:val="a3"/>
        <w:numPr>
          <w:ilvl w:val="0"/>
          <w:numId w:val="7"/>
        </w:numPr>
        <w:ind w:leftChars="0"/>
        <w:rPr>
          <w:sz w:val="28"/>
          <w:szCs w:val="28"/>
        </w:rPr>
      </w:pPr>
      <w:r>
        <w:rPr>
          <w:rFonts w:hint="eastAsia"/>
          <w:sz w:val="28"/>
          <w:szCs w:val="28"/>
        </w:rPr>
        <w:t>上</w:t>
      </w:r>
      <w:r w:rsidRPr="00557493">
        <w:rPr>
          <w:rFonts w:hint="eastAsia"/>
          <w:sz w:val="28"/>
          <w:szCs w:val="28"/>
        </w:rPr>
        <w:t>田人</w:t>
      </w:r>
      <w:r w:rsidR="00BD38B3">
        <w:rPr>
          <w:rFonts w:hint="eastAsia"/>
          <w:sz w:val="28"/>
          <w:szCs w:val="28"/>
        </w:rPr>
        <w:t>権人道大使の処分につき、注意では軽すぎるのではないか？【外務</w:t>
      </w:r>
      <w:bookmarkStart w:id="0" w:name="_GoBack"/>
      <w:bookmarkEnd w:id="0"/>
      <w:r>
        <w:rPr>
          <w:rFonts w:hint="eastAsia"/>
          <w:sz w:val="28"/>
          <w:szCs w:val="28"/>
        </w:rPr>
        <w:t>大臣政務官</w:t>
      </w:r>
      <w:r w:rsidRPr="00557493">
        <w:rPr>
          <w:rFonts w:hint="eastAsia"/>
          <w:sz w:val="28"/>
          <w:szCs w:val="28"/>
        </w:rPr>
        <w:t>】</w:t>
      </w:r>
    </w:p>
    <w:p w:rsidR="00557493" w:rsidRDefault="00557493" w:rsidP="00557493">
      <w:pPr>
        <w:pStyle w:val="a3"/>
        <w:numPr>
          <w:ilvl w:val="0"/>
          <w:numId w:val="7"/>
        </w:numPr>
        <w:ind w:leftChars="0"/>
        <w:rPr>
          <w:sz w:val="28"/>
          <w:szCs w:val="28"/>
        </w:rPr>
      </w:pPr>
      <w:r w:rsidRPr="00557493">
        <w:rPr>
          <w:rFonts w:hint="eastAsia"/>
          <w:sz w:val="28"/>
          <w:szCs w:val="28"/>
        </w:rPr>
        <w:t>審査後の委員会勧告において、可視化を含め取調べ方法の改善を求められている。これにつき、どのように対応するか？【法務大臣】</w:t>
      </w:r>
    </w:p>
    <w:p w:rsidR="00557493" w:rsidRPr="00557493" w:rsidRDefault="00557493" w:rsidP="00557493">
      <w:pPr>
        <w:pStyle w:val="a3"/>
        <w:numPr>
          <w:ilvl w:val="0"/>
          <w:numId w:val="7"/>
        </w:numPr>
        <w:ind w:leftChars="0"/>
        <w:rPr>
          <w:sz w:val="28"/>
          <w:szCs w:val="28"/>
        </w:rPr>
      </w:pPr>
      <w:r w:rsidRPr="00557493">
        <w:rPr>
          <w:rFonts w:hint="eastAsia"/>
          <w:sz w:val="28"/>
          <w:szCs w:val="28"/>
        </w:rPr>
        <w:t>従軍慰安婦に関する公人の言動につき政府に反論も求めているが、どのように受け止めるか？【法務大臣】</w:t>
      </w:r>
    </w:p>
    <w:p w:rsidR="00557493" w:rsidRPr="00557493" w:rsidRDefault="00557493" w:rsidP="00557493">
      <w:pPr>
        <w:rPr>
          <w:sz w:val="28"/>
          <w:szCs w:val="28"/>
        </w:rPr>
      </w:pPr>
    </w:p>
    <w:p w:rsidR="00557493" w:rsidRPr="00557493" w:rsidRDefault="00557493" w:rsidP="00557493">
      <w:pPr>
        <w:rPr>
          <w:sz w:val="28"/>
          <w:szCs w:val="28"/>
        </w:rPr>
      </w:pPr>
      <w:r w:rsidRPr="00557493">
        <w:rPr>
          <w:rFonts w:hint="eastAsia"/>
          <w:sz w:val="28"/>
          <w:szCs w:val="28"/>
        </w:rPr>
        <w:t>２．法曹養成制度検討会議について【資料２、３】</w:t>
      </w:r>
    </w:p>
    <w:p w:rsidR="00557493" w:rsidRPr="00557493" w:rsidRDefault="00557493" w:rsidP="00557493">
      <w:pPr>
        <w:rPr>
          <w:sz w:val="28"/>
          <w:szCs w:val="28"/>
        </w:rPr>
      </w:pPr>
    </w:p>
    <w:p w:rsidR="00557493" w:rsidRDefault="00557493" w:rsidP="00557493">
      <w:pPr>
        <w:pStyle w:val="a3"/>
        <w:numPr>
          <w:ilvl w:val="0"/>
          <w:numId w:val="8"/>
        </w:numPr>
        <w:ind w:leftChars="0"/>
        <w:rPr>
          <w:sz w:val="28"/>
          <w:szCs w:val="28"/>
        </w:rPr>
      </w:pPr>
      <w:r w:rsidRPr="00557493">
        <w:rPr>
          <w:rFonts w:hint="eastAsia"/>
          <w:sz w:val="28"/>
          <w:szCs w:val="28"/>
        </w:rPr>
        <w:t>同会議の座長試案は、付帯決議二にいう「質の高い法曹養成制度全体についての検討を加えた結果を一年以内に取りまとめ」に反するのではないか？【法務大臣】</w:t>
      </w:r>
    </w:p>
    <w:p w:rsidR="00557493" w:rsidRPr="00557493" w:rsidRDefault="00557493" w:rsidP="00557493">
      <w:pPr>
        <w:pStyle w:val="a3"/>
        <w:numPr>
          <w:ilvl w:val="0"/>
          <w:numId w:val="8"/>
        </w:numPr>
        <w:ind w:leftChars="0"/>
        <w:rPr>
          <w:sz w:val="28"/>
          <w:szCs w:val="28"/>
        </w:rPr>
      </w:pPr>
      <w:r w:rsidRPr="00557493">
        <w:rPr>
          <w:rFonts w:hint="eastAsia"/>
          <w:sz w:val="28"/>
          <w:szCs w:val="28"/>
        </w:rPr>
        <w:t>取りまとめがいかなる内容であれ、付帯決議二に従い、「政府においては、講ずべき措置の内容及び時期を直ちに明示する」ものと理解</w:t>
      </w:r>
      <w:r w:rsidRPr="00557493">
        <w:rPr>
          <w:rFonts w:hint="eastAsia"/>
          <w:sz w:val="28"/>
          <w:szCs w:val="28"/>
        </w:rPr>
        <w:lastRenderedPageBreak/>
        <w:t>してよいか？【法務大臣】</w:t>
      </w:r>
    </w:p>
    <w:p w:rsidR="00557493" w:rsidRPr="00557493" w:rsidRDefault="00557493" w:rsidP="00557493">
      <w:pPr>
        <w:rPr>
          <w:sz w:val="28"/>
          <w:szCs w:val="28"/>
        </w:rPr>
      </w:pPr>
    </w:p>
    <w:p w:rsidR="00B01D27" w:rsidRDefault="00557493" w:rsidP="00557493">
      <w:pPr>
        <w:rPr>
          <w:sz w:val="28"/>
          <w:szCs w:val="28"/>
        </w:rPr>
      </w:pPr>
      <w:r w:rsidRPr="00557493">
        <w:rPr>
          <w:rFonts w:hint="eastAsia"/>
          <w:sz w:val="28"/>
          <w:szCs w:val="28"/>
        </w:rPr>
        <w:t>＊付帯決議三につき、頂いた資料を検討の上、必要あれば明日の朝、質問を通告します。</w:t>
      </w:r>
    </w:p>
    <w:p w:rsidR="009049AE" w:rsidRDefault="009049AE" w:rsidP="00B01D27">
      <w:pPr>
        <w:rPr>
          <w:sz w:val="28"/>
          <w:szCs w:val="28"/>
        </w:rPr>
      </w:pPr>
    </w:p>
    <w:p w:rsidR="00B01D27" w:rsidRPr="00557493" w:rsidRDefault="00557493" w:rsidP="00557493">
      <w:pPr>
        <w:pStyle w:val="a3"/>
        <w:numPr>
          <w:ilvl w:val="0"/>
          <w:numId w:val="11"/>
        </w:numPr>
        <w:ind w:leftChars="0"/>
        <w:rPr>
          <w:sz w:val="28"/>
          <w:szCs w:val="28"/>
        </w:rPr>
      </w:pPr>
      <w:r w:rsidRPr="00557493">
        <w:rPr>
          <w:rFonts w:hint="eastAsia"/>
          <w:sz w:val="28"/>
          <w:szCs w:val="28"/>
        </w:rPr>
        <w:t>法案について</w:t>
      </w:r>
    </w:p>
    <w:p w:rsidR="00536D53" w:rsidRDefault="00536D53" w:rsidP="00536D53">
      <w:pPr>
        <w:pStyle w:val="a3"/>
        <w:ind w:leftChars="0" w:left="420"/>
        <w:rPr>
          <w:sz w:val="28"/>
          <w:szCs w:val="28"/>
        </w:rPr>
      </w:pPr>
    </w:p>
    <w:p w:rsidR="009049AE" w:rsidRDefault="009049AE" w:rsidP="009049AE">
      <w:pPr>
        <w:pStyle w:val="a3"/>
        <w:numPr>
          <w:ilvl w:val="0"/>
          <w:numId w:val="6"/>
        </w:numPr>
        <w:ind w:leftChars="0"/>
        <w:rPr>
          <w:sz w:val="28"/>
          <w:szCs w:val="28"/>
        </w:rPr>
      </w:pPr>
      <w:r w:rsidRPr="009049AE">
        <w:rPr>
          <w:rFonts w:hint="eastAsia"/>
          <w:sz w:val="28"/>
          <w:szCs w:val="28"/>
        </w:rPr>
        <w:t>刑の一部執行猶予制度導入により，従来，全部執行猶予とされていたものが一部執行猶予となり，厳罰化につながるのではないか。</w:t>
      </w:r>
      <w:r w:rsidR="00557493">
        <w:rPr>
          <w:rFonts w:hint="eastAsia"/>
          <w:sz w:val="28"/>
          <w:szCs w:val="28"/>
        </w:rPr>
        <w:t xml:space="preserve">　【法務大臣】</w:t>
      </w:r>
    </w:p>
    <w:p w:rsidR="009049AE" w:rsidRDefault="009049AE" w:rsidP="009049AE">
      <w:pPr>
        <w:pStyle w:val="a3"/>
        <w:numPr>
          <w:ilvl w:val="0"/>
          <w:numId w:val="6"/>
        </w:numPr>
        <w:ind w:leftChars="0"/>
        <w:rPr>
          <w:sz w:val="28"/>
          <w:szCs w:val="28"/>
        </w:rPr>
      </w:pPr>
      <w:r w:rsidRPr="009049AE">
        <w:rPr>
          <w:rFonts w:hint="eastAsia"/>
          <w:sz w:val="28"/>
          <w:szCs w:val="28"/>
        </w:rPr>
        <w:t>本法律案の提案理由説明では，「施設内処遇を行った上，残りの期間については執行を猶予し，相応の期間社会内処遇を実施することが，再犯防止・改善更生のためにより有用である場合があると考えられる。」などとされているが，その根拠はどのようなものか。</w:t>
      </w:r>
      <w:r w:rsidR="00557493">
        <w:rPr>
          <w:rFonts w:hint="eastAsia"/>
          <w:sz w:val="28"/>
          <w:szCs w:val="28"/>
        </w:rPr>
        <w:t xml:space="preserve">　　　　【法務大臣】</w:t>
      </w:r>
    </w:p>
    <w:p w:rsidR="009049AE" w:rsidRDefault="009049AE" w:rsidP="009049AE">
      <w:pPr>
        <w:pStyle w:val="a3"/>
        <w:numPr>
          <w:ilvl w:val="0"/>
          <w:numId w:val="6"/>
        </w:numPr>
        <w:ind w:leftChars="0"/>
        <w:rPr>
          <w:sz w:val="28"/>
          <w:szCs w:val="28"/>
        </w:rPr>
      </w:pPr>
      <w:r w:rsidRPr="009049AE">
        <w:rPr>
          <w:rFonts w:hint="eastAsia"/>
          <w:sz w:val="28"/>
          <w:szCs w:val="28"/>
        </w:rPr>
        <w:t>社会内処遇が再犯防止等に有用と考えるのであれば，３年以下の懲役又は禁錮の言渡しを受ける場合に限定せず，例えば懲役１０年というような，より重い判決の言渡しを受ける場合も，一部執行猶予の対象となるようにすべきではないか。</w:t>
      </w:r>
      <w:r w:rsidR="00557493">
        <w:rPr>
          <w:rFonts w:hint="eastAsia"/>
          <w:sz w:val="28"/>
          <w:szCs w:val="28"/>
        </w:rPr>
        <w:t>【法務大臣】</w:t>
      </w:r>
    </w:p>
    <w:p w:rsidR="009049AE" w:rsidRDefault="009049AE" w:rsidP="009049AE">
      <w:pPr>
        <w:pStyle w:val="a3"/>
        <w:numPr>
          <w:ilvl w:val="0"/>
          <w:numId w:val="6"/>
        </w:numPr>
        <w:ind w:leftChars="0"/>
        <w:rPr>
          <w:sz w:val="28"/>
          <w:szCs w:val="28"/>
        </w:rPr>
      </w:pPr>
      <w:r w:rsidRPr="009049AE">
        <w:rPr>
          <w:rFonts w:hint="eastAsia"/>
          <w:sz w:val="28"/>
          <w:szCs w:val="28"/>
        </w:rPr>
        <w:t>社会内処遇が再犯防止等に有用と考えるのであれば，現行法下において，例えば刑事施設内での行状が悪く，悔悟の情や改善更生の意欲が認められずに仮釈放とはならず，満期釈放となってしまうような者に対しても，満期出所後に社会内処遇をできるようにすべきではないか。</w:t>
      </w:r>
      <w:r w:rsidR="00557493">
        <w:rPr>
          <w:rFonts w:hint="eastAsia"/>
          <w:sz w:val="28"/>
          <w:szCs w:val="28"/>
        </w:rPr>
        <w:t>【法務大臣】</w:t>
      </w:r>
    </w:p>
    <w:p w:rsidR="009049AE" w:rsidRDefault="009049AE" w:rsidP="009049AE">
      <w:pPr>
        <w:pStyle w:val="a3"/>
        <w:numPr>
          <w:ilvl w:val="0"/>
          <w:numId w:val="6"/>
        </w:numPr>
        <w:ind w:leftChars="0"/>
        <w:rPr>
          <w:sz w:val="28"/>
          <w:szCs w:val="28"/>
        </w:rPr>
      </w:pPr>
      <w:r w:rsidRPr="009049AE">
        <w:rPr>
          <w:rFonts w:hint="eastAsia"/>
          <w:sz w:val="28"/>
          <w:szCs w:val="28"/>
        </w:rPr>
        <w:t>一部執行猶予の言渡しを受けた者が，一部の実刑期間中に刑事施設内において行状不良だった場合も，そのような者が改善更生するとは思われないので，刑の一部執行猶予の取消事由とすべきではないか。</w:t>
      </w:r>
      <w:r w:rsidR="00557493">
        <w:rPr>
          <w:rFonts w:hint="eastAsia"/>
          <w:sz w:val="28"/>
          <w:szCs w:val="28"/>
        </w:rPr>
        <w:t>【法務大臣】</w:t>
      </w:r>
    </w:p>
    <w:p w:rsidR="009049AE" w:rsidRPr="009049AE" w:rsidRDefault="009049AE" w:rsidP="009049AE">
      <w:pPr>
        <w:pStyle w:val="a3"/>
        <w:numPr>
          <w:ilvl w:val="0"/>
          <w:numId w:val="6"/>
        </w:numPr>
        <w:ind w:leftChars="0"/>
        <w:rPr>
          <w:sz w:val="28"/>
          <w:szCs w:val="28"/>
        </w:rPr>
      </w:pPr>
      <w:r w:rsidRPr="009049AE">
        <w:rPr>
          <w:rFonts w:hint="eastAsia"/>
          <w:sz w:val="28"/>
          <w:szCs w:val="28"/>
        </w:rPr>
        <w:t>本法律案では，薬物犯罪については累犯者でも一部執行猶予を言い渡すことができるとされているが，薬物犯罪以外の罪の累犯者についても，施設内処遇に続く社会内処遇が再犯防止等に有用と考えられるので，一部執行猶予を言い渡すことができるようにすべきではないか。</w:t>
      </w:r>
      <w:r w:rsidR="00557493">
        <w:rPr>
          <w:rFonts w:hint="eastAsia"/>
          <w:sz w:val="28"/>
          <w:szCs w:val="28"/>
        </w:rPr>
        <w:t>【法務大臣】</w:t>
      </w:r>
    </w:p>
    <w:p w:rsidR="00B331D0" w:rsidRPr="00ED63A2" w:rsidRDefault="00B331D0" w:rsidP="00B331D0">
      <w:pPr>
        <w:pStyle w:val="a3"/>
        <w:ind w:leftChars="0" w:left="920"/>
        <w:rPr>
          <w:sz w:val="28"/>
          <w:szCs w:val="28"/>
        </w:rPr>
      </w:pPr>
      <w:r>
        <w:rPr>
          <w:rFonts w:hint="eastAsia"/>
          <w:sz w:val="28"/>
          <w:szCs w:val="28"/>
        </w:rPr>
        <w:t xml:space="preserve">　　　</w:t>
      </w:r>
      <w:r w:rsidR="009049AE">
        <w:rPr>
          <w:rFonts w:hint="eastAsia"/>
          <w:sz w:val="28"/>
          <w:szCs w:val="28"/>
        </w:rPr>
        <w:t xml:space="preserve">　　　　　　　　　　　　　　　　　　　　　　</w:t>
      </w:r>
      <w:r>
        <w:rPr>
          <w:rFonts w:hint="eastAsia"/>
          <w:sz w:val="28"/>
          <w:szCs w:val="28"/>
        </w:rPr>
        <w:t>以上</w:t>
      </w:r>
    </w:p>
    <w:sectPr w:rsidR="00B331D0" w:rsidRPr="00ED63A2" w:rsidSect="00F44A92">
      <w:pgSz w:w="11906" w:h="16838"/>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5A" w:rsidRDefault="003C485A" w:rsidP="00A4121F">
      <w:r>
        <w:separator/>
      </w:r>
    </w:p>
  </w:endnote>
  <w:endnote w:type="continuationSeparator" w:id="0">
    <w:p w:rsidR="003C485A" w:rsidRDefault="003C485A" w:rsidP="00A4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5A" w:rsidRDefault="003C485A" w:rsidP="00A4121F">
      <w:r>
        <w:separator/>
      </w:r>
    </w:p>
  </w:footnote>
  <w:footnote w:type="continuationSeparator" w:id="0">
    <w:p w:rsidR="003C485A" w:rsidRDefault="003C485A" w:rsidP="00A41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1C4"/>
    <w:multiLevelType w:val="hybridMultilevel"/>
    <w:tmpl w:val="E92AABE6"/>
    <w:lvl w:ilvl="0" w:tplc="39A84600">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FA30AC"/>
    <w:multiLevelType w:val="hybridMultilevel"/>
    <w:tmpl w:val="F93C33E8"/>
    <w:lvl w:ilvl="0" w:tplc="E2E8942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nsid w:val="105E13F4"/>
    <w:multiLevelType w:val="hybridMultilevel"/>
    <w:tmpl w:val="3476121C"/>
    <w:lvl w:ilvl="0" w:tplc="C3FE90E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nsid w:val="11F80902"/>
    <w:multiLevelType w:val="hybridMultilevel"/>
    <w:tmpl w:val="F1E233FA"/>
    <w:lvl w:ilvl="0" w:tplc="4B3A88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59B22F5"/>
    <w:multiLevelType w:val="hybridMultilevel"/>
    <w:tmpl w:val="EBD4ADDA"/>
    <w:lvl w:ilvl="0" w:tplc="08A268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8628C2"/>
    <w:multiLevelType w:val="hybridMultilevel"/>
    <w:tmpl w:val="E8522C18"/>
    <w:lvl w:ilvl="0" w:tplc="C15C67D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087360"/>
    <w:multiLevelType w:val="hybridMultilevel"/>
    <w:tmpl w:val="53569028"/>
    <w:lvl w:ilvl="0" w:tplc="50AC3BC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9D04F6"/>
    <w:multiLevelType w:val="hybridMultilevel"/>
    <w:tmpl w:val="B3869DBA"/>
    <w:lvl w:ilvl="0" w:tplc="20083820">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nsid w:val="54A75E79"/>
    <w:multiLevelType w:val="hybridMultilevel"/>
    <w:tmpl w:val="7EEEEE2C"/>
    <w:lvl w:ilvl="0" w:tplc="12C426B6">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9">
    <w:nsid w:val="59F14D1F"/>
    <w:multiLevelType w:val="hybridMultilevel"/>
    <w:tmpl w:val="61CAF0FC"/>
    <w:lvl w:ilvl="0" w:tplc="C2B8B6FC">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0">
    <w:nsid w:val="77B23C99"/>
    <w:multiLevelType w:val="hybridMultilevel"/>
    <w:tmpl w:val="771853E8"/>
    <w:lvl w:ilvl="0" w:tplc="407E9E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3"/>
  </w:num>
  <w:num w:numId="3">
    <w:abstractNumId w:val="10"/>
  </w:num>
  <w:num w:numId="4">
    <w:abstractNumId w:val="2"/>
  </w:num>
  <w:num w:numId="5">
    <w:abstractNumId w:val="8"/>
  </w:num>
  <w:num w:numId="6">
    <w:abstractNumId w:val="7"/>
  </w:num>
  <w:num w:numId="7">
    <w:abstractNumId w:val="9"/>
  </w:num>
  <w:num w:numId="8">
    <w:abstractNumId w:val="1"/>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BB"/>
    <w:rsid w:val="000E1440"/>
    <w:rsid w:val="002178E1"/>
    <w:rsid w:val="003C485A"/>
    <w:rsid w:val="00536D53"/>
    <w:rsid w:val="00557493"/>
    <w:rsid w:val="00737E82"/>
    <w:rsid w:val="0081415C"/>
    <w:rsid w:val="00824B96"/>
    <w:rsid w:val="00842A81"/>
    <w:rsid w:val="009049AE"/>
    <w:rsid w:val="00A13C3F"/>
    <w:rsid w:val="00A4121F"/>
    <w:rsid w:val="00AB12BB"/>
    <w:rsid w:val="00AC5489"/>
    <w:rsid w:val="00B01D27"/>
    <w:rsid w:val="00B331D0"/>
    <w:rsid w:val="00BD38B3"/>
    <w:rsid w:val="00BD7943"/>
    <w:rsid w:val="00D030C2"/>
    <w:rsid w:val="00D36B2C"/>
    <w:rsid w:val="00ED63A2"/>
    <w:rsid w:val="00F33527"/>
    <w:rsid w:val="00F44A92"/>
    <w:rsid w:val="00F7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2BB"/>
    <w:pPr>
      <w:ind w:leftChars="400" w:left="840"/>
    </w:pPr>
  </w:style>
  <w:style w:type="paragraph" w:styleId="a4">
    <w:name w:val="header"/>
    <w:basedOn w:val="a"/>
    <w:link w:val="a5"/>
    <w:uiPriority w:val="99"/>
    <w:unhideWhenUsed/>
    <w:rsid w:val="00A4121F"/>
    <w:pPr>
      <w:tabs>
        <w:tab w:val="center" w:pos="4252"/>
        <w:tab w:val="right" w:pos="8504"/>
      </w:tabs>
      <w:snapToGrid w:val="0"/>
    </w:pPr>
  </w:style>
  <w:style w:type="character" w:customStyle="1" w:styleId="a5">
    <w:name w:val="ヘッダー (文字)"/>
    <w:basedOn w:val="a0"/>
    <w:link w:val="a4"/>
    <w:uiPriority w:val="99"/>
    <w:rsid w:val="00A4121F"/>
  </w:style>
  <w:style w:type="paragraph" w:styleId="a6">
    <w:name w:val="footer"/>
    <w:basedOn w:val="a"/>
    <w:link w:val="a7"/>
    <w:uiPriority w:val="99"/>
    <w:unhideWhenUsed/>
    <w:rsid w:val="00A4121F"/>
    <w:pPr>
      <w:tabs>
        <w:tab w:val="center" w:pos="4252"/>
        <w:tab w:val="right" w:pos="8504"/>
      </w:tabs>
      <w:snapToGrid w:val="0"/>
    </w:pPr>
  </w:style>
  <w:style w:type="character" w:customStyle="1" w:styleId="a7">
    <w:name w:val="フッター (文字)"/>
    <w:basedOn w:val="a0"/>
    <w:link w:val="a6"/>
    <w:uiPriority w:val="99"/>
    <w:rsid w:val="00A41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2BB"/>
    <w:pPr>
      <w:ind w:leftChars="400" w:left="840"/>
    </w:pPr>
  </w:style>
  <w:style w:type="paragraph" w:styleId="a4">
    <w:name w:val="header"/>
    <w:basedOn w:val="a"/>
    <w:link w:val="a5"/>
    <w:uiPriority w:val="99"/>
    <w:unhideWhenUsed/>
    <w:rsid w:val="00A4121F"/>
    <w:pPr>
      <w:tabs>
        <w:tab w:val="center" w:pos="4252"/>
        <w:tab w:val="right" w:pos="8504"/>
      </w:tabs>
      <w:snapToGrid w:val="0"/>
    </w:pPr>
  </w:style>
  <w:style w:type="character" w:customStyle="1" w:styleId="a5">
    <w:name w:val="ヘッダー (文字)"/>
    <w:basedOn w:val="a0"/>
    <w:link w:val="a4"/>
    <w:uiPriority w:val="99"/>
    <w:rsid w:val="00A4121F"/>
  </w:style>
  <w:style w:type="paragraph" w:styleId="a6">
    <w:name w:val="footer"/>
    <w:basedOn w:val="a"/>
    <w:link w:val="a7"/>
    <w:uiPriority w:val="99"/>
    <w:unhideWhenUsed/>
    <w:rsid w:val="00A4121F"/>
    <w:pPr>
      <w:tabs>
        <w:tab w:val="center" w:pos="4252"/>
        <w:tab w:val="right" w:pos="8504"/>
      </w:tabs>
      <w:snapToGrid w:val="0"/>
    </w:pPr>
  </w:style>
  <w:style w:type="character" w:customStyle="1" w:styleId="a7">
    <w:name w:val="フッター (文字)"/>
    <w:basedOn w:val="a0"/>
    <w:link w:val="a6"/>
    <w:uiPriority w:val="99"/>
    <w:rsid w:val="00A4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衆議院</dc:creator>
  <cp:lastModifiedBy>衆議院</cp:lastModifiedBy>
  <cp:revision>6</cp:revision>
  <cp:lastPrinted>2013-06-10T09:38:00Z</cp:lastPrinted>
  <dcterms:created xsi:type="dcterms:W3CDTF">2013-05-16T09:59:00Z</dcterms:created>
  <dcterms:modified xsi:type="dcterms:W3CDTF">2013-06-10T09:39:00Z</dcterms:modified>
</cp:coreProperties>
</file>